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61283596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19395A">
        <w:rPr>
          <w:bCs/>
          <w:kern w:val="2"/>
          <w:sz w:val="24"/>
          <w:szCs w:val="24"/>
        </w:rPr>
        <w:t>ЛНР и ДНР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33B89093" w14:textId="29773443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19395A">
        <w:rPr>
          <w:bCs/>
          <w:kern w:val="2"/>
          <w:sz w:val="24"/>
          <w:szCs w:val="24"/>
        </w:rPr>
        <w:t>Стронхар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19395A" w:rsidRPr="0019395A">
        <w:rPr>
          <w:bCs/>
          <w:kern w:val="2"/>
          <w:sz w:val="24"/>
          <w:szCs w:val="24"/>
        </w:rPr>
        <w:t>http://stronhar.com/</w:t>
      </w:r>
    </w:p>
    <w:p w14:paraId="030080D5" w14:textId="178E1E84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DF5063" w:rsidRPr="00D05C53">
        <w:rPr>
          <w:bCs/>
          <w:kern w:val="2"/>
          <w:sz w:val="24"/>
          <w:szCs w:val="24"/>
        </w:rPr>
        <w:t xml:space="preserve">до </w:t>
      </w:r>
      <w:r w:rsidR="0019395A">
        <w:rPr>
          <w:bCs/>
          <w:kern w:val="2"/>
          <w:sz w:val="24"/>
          <w:szCs w:val="24"/>
        </w:rPr>
        <w:t>03</w:t>
      </w:r>
      <w:r w:rsidR="008076ED" w:rsidRPr="00D05C53">
        <w:rPr>
          <w:bCs/>
          <w:kern w:val="2"/>
          <w:sz w:val="24"/>
          <w:szCs w:val="24"/>
        </w:rPr>
        <w:t>.</w:t>
      </w:r>
      <w:r w:rsidR="0019395A">
        <w:rPr>
          <w:bCs/>
          <w:kern w:val="2"/>
          <w:sz w:val="24"/>
          <w:szCs w:val="24"/>
        </w:rPr>
        <w:t>10</w:t>
      </w:r>
      <w:r w:rsidR="00DF5063" w:rsidRPr="00D05C53">
        <w:rPr>
          <w:bCs/>
          <w:kern w:val="2"/>
          <w:sz w:val="24"/>
          <w:szCs w:val="24"/>
        </w:rPr>
        <w:t>.202</w:t>
      </w:r>
      <w:r w:rsidR="00BF474F" w:rsidRPr="00D05C53">
        <w:rPr>
          <w:bCs/>
          <w:kern w:val="2"/>
          <w:sz w:val="24"/>
          <w:szCs w:val="24"/>
        </w:rPr>
        <w:t>2</w:t>
      </w:r>
      <w:r w:rsidRPr="00D05C53"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3A7DAB6A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русском языке</w:t>
      </w:r>
      <w:r w:rsidRPr="000E7460">
        <w:rPr>
          <w:bCs/>
          <w:kern w:val="2"/>
          <w:sz w:val="24"/>
          <w:szCs w:val="24"/>
        </w:rPr>
        <w:t xml:space="preserve"> 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2CB43531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447D41">
        <w:rPr>
          <w:bCs/>
          <w:kern w:val="2"/>
          <w:sz w:val="24"/>
          <w:szCs w:val="24"/>
        </w:rPr>
        <w:t>«</w:t>
      </w:r>
      <w:r w:rsidR="007B10F1">
        <w:rPr>
          <w:bCs/>
          <w:kern w:val="2"/>
          <w:sz w:val="24"/>
          <w:szCs w:val="24"/>
        </w:rPr>
        <w:t>Стронхар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6B8E3E6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ДНР и ЛНР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7B10F1">
        <w:rPr>
          <w:bCs/>
          <w:kern w:val="2"/>
          <w:sz w:val="24"/>
          <w:szCs w:val="24"/>
        </w:rPr>
        <w:t>Стронхар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92048"/>
    <w:rsid w:val="00304AC5"/>
    <w:rsid w:val="003064CB"/>
    <w:rsid w:val="00327FAA"/>
    <w:rsid w:val="00390B09"/>
    <w:rsid w:val="00447D41"/>
    <w:rsid w:val="004B6C9C"/>
    <w:rsid w:val="004D36D0"/>
    <w:rsid w:val="007325D0"/>
    <w:rsid w:val="00737B25"/>
    <w:rsid w:val="007609D2"/>
    <w:rsid w:val="007657B0"/>
    <w:rsid w:val="007B10F1"/>
    <w:rsid w:val="007D6F4A"/>
    <w:rsid w:val="008076ED"/>
    <w:rsid w:val="0083185D"/>
    <w:rsid w:val="008B4E16"/>
    <w:rsid w:val="008C0805"/>
    <w:rsid w:val="008F305F"/>
    <w:rsid w:val="00916283"/>
    <w:rsid w:val="00993F3E"/>
    <w:rsid w:val="00996DFA"/>
    <w:rsid w:val="009A57AE"/>
    <w:rsid w:val="00A36290"/>
    <w:rsid w:val="00B04314"/>
    <w:rsid w:val="00B205A3"/>
    <w:rsid w:val="00B5540C"/>
    <w:rsid w:val="00BF474F"/>
    <w:rsid w:val="00C60100"/>
    <w:rsid w:val="00CE206E"/>
    <w:rsid w:val="00D05C53"/>
    <w:rsid w:val="00D34BE6"/>
    <w:rsid w:val="00DB0EF9"/>
    <w:rsid w:val="00DF5063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3</cp:revision>
  <cp:lastPrinted>2022-07-11T12:16:00Z</cp:lastPrinted>
  <dcterms:created xsi:type="dcterms:W3CDTF">2022-07-11T12:18:00Z</dcterms:created>
  <dcterms:modified xsi:type="dcterms:W3CDTF">2022-07-12T06:23:00Z</dcterms:modified>
</cp:coreProperties>
</file>