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185B293E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996DFA" w:rsidRPr="00993F3E">
        <w:rPr>
          <w:bCs/>
          <w:kern w:val="2"/>
          <w:sz w:val="24"/>
          <w:szCs w:val="24"/>
        </w:rPr>
        <w:t>Иордании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33B89093" w14:textId="75402214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B5540C">
        <w:rPr>
          <w:bCs/>
          <w:kern w:val="2"/>
          <w:sz w:val="24"/>
          <w:szCs w:val="24"/>
        </w:rPr>
        <w:t>Омега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447D41" w:rsidRPr="00447D41">
        <w:rPr>
          <w:bCs/>
          <w:kern w:val="2"/>
          <w:sz w:val="24"/>
          <w:szCs w:val="24"/>
        </w:rPr>
        <w:t>http://omegavlg.com</w:t>
      </w:r>
    </w:p>
    <w:p w14:paraId="030080D5" w14:textId="6AD60E20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DF5063" w:rsidRPr="00D05C53">
        <w:rPr>
          <w:bCs/>
          <w:kern w:val="2"/>
          <w:sz w:val="24"/>
          <w:szCs w:val="24"/>
        </w:rPr>
        <w:t xml:space="preserve">до </w:t>
      </w:r>
      <w:r w:rsidR="008076ED" w:rsidRPr="00D05C53">
        <w:rPr>
          <w:bCs/>
          <w:kern w:val="2"/>
          <w:sz w:val="24"/>
          <w:szCs w:val="24"/>
        </w:rPr>
        <w:t>18.05</w:t>
      </w:r>
      <w:r w:rsidR="00DF5063" w:rsidRPr="00D05C53">
        <w:rPr>
          <w:bCs/>
          <w:kern w:val="2"/>
          <w:sz w:val="24"/>
          <w:szCs w:val="24"/>
        </w:rPr>
        <w:t>.202</w:t>
      </w:r>
      <w:r w:rsidR="00BF474F" w:rsidRPr="00D05C53">
        <w:rPr>
          <w:bCs/>
          <w:kern w:val="2"/>
          <w:sz w:val="24"/>
          <w:szCs w:val="24"/>
        </w:rPr>
        <w:t>2</w:t>
      </w:r>
      <w:r w:rsidRPr="00D05C53"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6F464DF5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</w:t>
      </w:r>
      <w:r w:rsidR="001E3DC3">
        <w:rPr>
          <w:bCs/>
          <w:kern w:val="2"/>
          <w:sz w:val="24"/>
          <w:szCs w:val="24"/>
        </w:rPr>
        <w:t>иорданский язык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1520C5A5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447D41">
        <w:rPr>
          <w:bCs/>
          <w:kern w:val="2"/>
          <w:sz w:val="24"/>
          <w:szCs w:val="24"/>
        </w:rPr>
        <w:t>«Омега</w:t>
      </w:r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41F4432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37B25">
        <w:rPr>
          <w:bCs/>
          <w:kern w:val="2"/>
          <w:sz w:val="24"/>
          <w:szCs w:val="24"/>
        </w:rPr>
        <w:t xml:space="preserve"> </w:t>
      </w:r>
      <w:r w:rsidR="001E3DC3">
        <w:rPr>
          <w:bCs/>
          <w:kern w:val="2"/>
          <w:sz w:val="24"/>
          <w:szCs w:val="24"/>
        </w:rPr>
        <w:t>иорданскими</w:t>
      </w:r>
      <w:r w:rsidR="00E22960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447D41">
        <w:rPr>
          <w:bCs/>
          <w:kern w:val="2"/>
          <w:sz w:val="24"/>
          <w:szCs w:val="24"/>
        </w:rPr>
        <w:t>Омега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E3DC3"/>
    <w:rsid w:val="00292048"/>
    <w:rsid w:val="00304AC5"/>
    <w:rsid w:val="003064CB"/>
    <w:rsid w:val="00327FAA"/>
    <w:rsid w:val="00390B09"/>
    <w:rsid w:val="00447D41"/>
    <w:rsid w:val="004B6C9C"/>
    <w:rsid w:val="004D36D0"/>
    <w:rsid w:val="007325D0"/>
    <w:rsid w:val="00737B25"/>
    <w:rsid w:val="007609D2"/>
    <w:rsid w:val="007657B0"/>
    <w:rsid w:val="007D6F4A"/>
    <w:rsid w:val="008076ED"/>
    <w:rsid w:val="0083185D"/>
    <w:rsid w:val="008B4E16"/>
    <w:rsid w:val="008C0805"/>
    <w:rsid w:val="008F305F"/>
    <w:rsid w:val="00916283"/>
    <w:rsid w:val="00993F3E"/>
    <w:rsid w:val="00996DFA"/>
    <w:rsid w:val="009A57AE"/>
    <w:rsid w:val="00A36290"/>
    <w:rsid w:val="00B04314"/>
    <w:rsid w:val="00B205A3"/>
    <w:rsid w:val="00B5540C"/>
    <w:rsid w:val="00BF474F"/>
    <w:rsid w:val="00C60100"/>
    <w:rsid w:val="00CE206E"/>
    <w:rsid w:val="00D05C53"/>
    <w:rsid w:val="00D34BE6"/>
    <w:rsid w:val="00DB0EF9"/>
    <w:rsid w:val="00DF5063"/>
    <w:rsid w:val="00E22960"/>
    <w:rsid w:val="00E723D3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4</cp:revision>
  <dcterms:created xsi:type="dcterms:W3CDTF">2022-02-11T11:29:00Z</dcterms:created>
  <dcterms:modified xsi:type="dcterms:W3CDTF">2022-02-16T09:25:00Z</dcterms:modified>
</cp:coreProperties>
</file>